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Занятие №4 с регистраторами системы.</w:t>
      </w:r>
    </w:p>
    <w:tbl>
      <w:tblPr>
        <w:tblStyle w:val="Table1"/>
        <w:tblW w:w="90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3340"/>
        <w:gridCol w:w="3735"/>
        <w:gridCol w:w="105"/>
        <w:tblGridChange w:id="0">
          <w:tblGrid>
            <w:gridCol w:w="1840"/>
            <w:gridCol w:w="3340"/>
            <w:gridCol w:w="3735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Подробно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Предварительная запись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Без карты (первичный звонок)</w:t>
            </w:r>
          </w:p>
          <w:p w:rsidR="00000000" w:rsidDel="00000000" w:rsidP="00000000" w:rsidRDefault="00000000" w:rsidRPr="00000000" w14:paraId="00000008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 картой (повторное посещение клиники)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Диалоговое окно поиска пациента:</w:t>
            </w:r>
          </w:p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Списки автонабора – принцип работы, использование стрелок вверх, вниз и Enter для выбора, повторный Enter или Tab для перехода на следующее поля. Esc для закрытия окна подсказок.</w:t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Переход мышкой  на следующее поле, щелчком по метке.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Принцип поиска и ввода новых пациентов (важно научить администраторов правильному алгоритму, чтобы минимизировать вероятность появления новых карт на пациента с ошибкой в ФИО):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Вводим часть фамилии и выбираем ее из списка подсказок. Если фамилии в списке нет, убеждаемся, что она набрана без ошибки и вводим имя отчество, дату рождения для первичной регистрации пациента.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Для распространенных фамилий набираем имя.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Жмем кнопку с человечками или телефоном при предварительной записи.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списке находим нужного пациента.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При отсутствии пациента в списке жмем ссылку «регистрировать пациента» и вводим отчество и дату рождения для первичной регистрации пациента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Электронные персональные медицинские записи (ЭПМЗ) в МГЕРМ.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Амбулаторная карта.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Общий принцип хранения информации в MGERM согласно ГОСТ – все события, происходящие с пациентом фиксируются в виде ЭПМЗ.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Печатные формы регистратуры (отметить возможность настройки и объединения схожих форм на одной кнопке).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Редактирование карты. История изменения карты.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Изменение ФИО.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Местоположение карты.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Отображение счетов и записей на прием под амбулаторной картой на сегодняшний день. Ссылки для просмотра старых счетов и записей внизу страницы. 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Разграничение ролей в МГЕРМ согласно ФЗ о защите персональных данных и возможность посмотреть заголовки медицинских ЭПМЗ без информации по соотв. ссылке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Визуальное представление – информационный контейнер и его компоненты (заголовок, тело записи, прикрепленные файлы, кнопочные панели).</w:t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Таблица свойств записи по щелчку по заголовку.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Статусы записи: блокировка, пометка об ошибке.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Особенности использования КЛАДР.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Список страховых компаний (регулируется администратором)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Возможность наcтройки - добавления нужных полей администратором при необходимости.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Сетка расписания</w:t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Режимы записи на приме: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 услуге (программа сама найдет врача или кабинет, где оказывается услуга);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 врачу;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кабинет.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Переключение режимов.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Фильтры филиалов и специальностей, отображение сетки расписания на месяц.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Запись на период.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Выбор услуги и запись без выбора услуги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Кнопка расписания в левой части экрана - для ознакомления с  расписанием врачей без выбора пациента (ячейки расписания бледно-зеленые).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Для записи пациента используем кнопку в карте пациента в правой части экрана (ячейки расписания насыщенно зеленые).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Виды записей на прием.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Желтый - Предварительная запись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Зеленый - направление из регистратуры</w:t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Белый - Направление от врача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Красный - предварительная запись с предоплатой.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Подтверждение предварительных записей (по телефону и от врача).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Блокировка записей из регистратуры и с предварительной регистрацией услуги.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Объяснить разницу между предоплатой и оплатой по факту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Работа call-центра.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Статусы записей в сетке расписания.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Изменения статуса. Фиксация причины, по которой не удалось дозвониться.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Перенос записи на другой день.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Отмена записи</w:t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Упомянуть журнал отмененных вызовов и статистики направлений (используется для оценки работы регистраторов) 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регистрация пациента оформление карты</w:t>
        <w:br w:type="textWrapping"/>
        <w:br w:type="textWrapping"/>
        <w:t xml:space="preserve">запись на прием создание направлений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